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1C3B" w14:textId="77777777" w:rsidR="00DF1E21" w:rsidRDefault="003A51CD" w:rsidP="00333E04">
      <w:pPr>
        <w:pStyle w:val="BodyText"/>
        <w:bidi/>
        <w:jc w:val="center"/>
        <w:rPr>
          <w:rFonts w:cs="Arial"/>
          <w:b/>
          <w:bCs/>
          <w:sz w:val="24"/>
          <w:szCs w:val="24"/>
          <w:lang w:val="ms-MY"/>
        </w:rPr>
      </w:pPr>
      <w:r w:rsidRPr="004946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المقالة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A51CD">
        <w:rPr>
          <w:rFonts w:ascii="Palatino Linotype" w:hAnsi="Palatino Linotype" w:cs="Arial"/>
          <w:b/>
          <w:bCs/>
          <w:sz w:val="24"/>
          <w:szCs w:val="24"/>
          <w:lang w:val="ms-MY"/>
        </w:rPr>
        <w:t>(TRADITIONAL ARABIC SIZE 18, BOLD, CENTRE)</w:t>
      </w:r>
    </w:p>
    <w:p w14:paraId="101108E2" w14:textId="77777777" w:rsidR="00333E04" w:rsidRPr="00333E04" w:rsidRDefault="00333E04" w:rsidP="00333E04">
      <w:pPr>
        <w:pStyle w:val="BodyText"/>
        <w:bidi/>
        <w:jc w:val="center"/>
        <w:rPr>
          <w:rFonts w:cs="Arial"/>
          <w:b/>
          <w:bCs/>
          <w:sz w:val="24"/>
          <w:szCs w:val="24"/>
          <w:lang w:val="ms-MY"/>
        </w:rPr>
      </w:pPr>
    </w:p>
    <w:p w14:paraId="788E8CE8" w14:textId="04066CE9" w:rsidR="003A51CD" w:rsidRPr="0049468E" w:rsidRDefault="003A51CD" w:rsidP="00811217">
      <w:pPr>
        <w:pStyle w:val="BodyText"/>
        <w:bidi/>
        <w:jc w:val="center"/>
        <w:rPr>
          <w:rFonts w:cs="Arial"/>
          <w:b/>
          <w:bCs/>
          <w:sz w:val="22"/>
          <w:szCs w:val="22"/>
          <w:lang w:val="ms-MY"/>
        </w:rPr>
      </w:pPr>
      <w:r w:rsidRPr="003A51CD">
        <w:rPr>
          <w:rFonts w:ascii="Traditional Arabic" w:hAnsi="Traditional Arabic" w:cs="Traditional Arabic"/>
          <w:b/>
          <w:bCs/>
          <w:sz w:val="24"/>
          <w:szCs w:val="24"/>
          <w:rtl/>
          <w:lang w:val="ms-MY"/>
        </w:rPr>
        <w:t>ترجمة عنوان المقالة إلى الإنجليزية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val="ms-MY"/>
        </w:rPr>
        <w:t xml:space="preserve"> </w:t>
      </w:r>
      <w:r w:rsidR="00333E04" w:rsidRPr="00811217">
        <w:rPr>
          <w:rFonts w:ascii="Palatino Linotype" w:hAnsi="Palatino Linotype" w:cs="Arial"/>
          <w:b/>
          <w:bCs/>
          <w:sz w:val="24"/>
          <w:szCs w:val="24"/>
          <w:lang w:val="ms-MY"/>
        </w:rPr>
        <w:t>Translation of Title in English (</w:t>
      </w:r>
      <w:r w:rsidR="00811217">
        <w:rPr>
          <w:rFonts w:ascii="Palatino Linotype" w:hAnsi="Palatino Linotype" w:cs="Arial"/>
          <w:b/>
          <w:bCs/>
          <w:sz w:val="24"/>
          <w:szCs w:val="24"/>
          <w:lang w:val="ms-MY"/>
        </w:rPr>
        <w:t>Cambria 12, Bold</w:t>
      </w:r>
      <w:r w:rsidR="00333E04" w:rsidRPr="00811217">
        <w:rPr>
          <w:rFonts w:ascii="Palatino Linotype" w:hAnsi="Palatino Linotype" w:cs="Arial"/>
          <w:b/>
          <w:bCs/>
          <w:sz w:val="24"/>
          <w:szCs w:val="24"/>
          <w:lang w:val="ms-MY"/>
        </w:rPr>
        <w:t>, Centre</w:t>
      </w:r>
      <w:r w:rsidR="00333E04" w:rsidRPr="00940A46">
        <w:rPr>
          <w:rFonts w:ascii="Palatino Linotype" w:hAnsi="Palatino Linotype" w:cs="Arial"/>
          <w:b/>
          <w:bCs/>
          <w:i/>
          <w:iCs/>
          <w:sz w:val="24"/>
          <w:szCs w:val="24"/>
          <w:lang w:val="ms-MY"/>
        </w:rPr>
        <w:t>)</w:t>
      </w:r>
    </w:p>
    <w:p w14:paraId="0FC09313" w14:textId="77777777" w:rsidR="00A96063" w:rsidRDefault="00A96063" w:rsidP="004C6695">
      <w:pPr>
        <w:pStyle w:val="BodyText"/>
        <w:jc w:val="center"/>
        <w:rPr>
          <w:rFonts w:ascii="Palatino Linotype" w:hAnsi="Palatino Linotype" w:cs="Arial"/>
          <w:b/>
          <w:bCs/>
          <w:sz w:val="24"/>
          <w:szCs w:val="24"/>
          <w:rtl/>
          <w:lang w:val="ms-MY"/>
        </w:rPr>
      </w:pPr>
    </w:p>
    <w:p w14:paraId="69D6FDDE" w14:textId="77777777" w:rsidR="003A51CD" w:rsidRPr="00445D01" w:rsidRDefault="003A51CD" w:rsidP="00445D01">
      <w:pPr>
        <w:pStyle w:val="BodyText"/>
        <w:bidi/>
        <w:jc w:val="center"/>
        <w:rPr>
          <w:rFonts w:ascii="Palatino Linotype" w:hAnsi="Palatino Linotype" w:cs="Arial"/>
          <w:sz w:val="22"/>
          <w:szCs w:val="22"/>
          <w:vertAlign w:val="superscript"/>
          <w:rtl/>
        </w:rPr>
      </w:pP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الأول،</w:t>
      </w:r>
      <w:r w:rsidRPr="003A51CD">
        <w:rPr>
          <w:rFonts w:ascii="Palatino Linotype" w:hAnsi="Palatino Linotype" w:cs="Arial"/>
          <w:sz w:val="22"/>
          <w:szCs w:val="22"/>
          <w:vertAlign w:val="superscript"/>
        </w:rPr>
        <w:t xml:space="preserve"> </w:t>
      </w:r>
      <w:proofErr w:type="spellStart"/>
      <w:r w:rsidRPr="00DF1E21">
        <w:rPr>
          <w:rFonts w:ascii="Palatino Linotype" w:hAnsi="Palatino Linotype" w:cs="Arial"/>
          <w:sz w:val="22"/>
          <w:szCs w:val="22"/>
          <w:vertAlign w:val="superscript"/>
        </w:rPr>
        <w:t>i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</w:t>
      </w: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الثاني (إن وجد)،</w:t>
      </w:r>
      <w:r w:rsidRPr="00DF1E21">
        <w:rPr>
          <w:rFonts w:ascii="Palatino Linotype" w:hAnsi="Palatino Linotype" w:cs="Arial"/>
          <w:sz w:val="22"/>
          <w:szCs w:val="22"/>
          <w:vertAlign w:val="superscript"/>
        </w:rPr>
        <w:t>ii</w:t>
      </w: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 xml:space="preserve"> 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الثاني (إن وجد)</w:t>
      </w:r>
      <w:r w:rsidRPr="003A51CD">
        <w:rPr>
          <w:rFonts w:ascii="Palatino Linotype" w:hAnsi="Palatino Linotype" w:cs="Arial"/>
          <w:sz w:val="22"/>
          <w:szCs w:val="22"/>
          <w:vertAlign w:val="superscript"/>
        </w:rPr>
        <w:t xml:space="preserve"> </w:t>
      </w:r>
      <w:r w:rsidRPr="00DF1E21">
        <w:rPr>
          <w:rFonts w:ascii="Palatino Linotype" w:hAnsi="Palatino Linotype" w:cs="Arial"/>
          <w:sz w:val="22"/>
          <w:szCs w:val="22"/>
          <w:vertAlign w:val="superscript"/>
        </w:rPr>
        <w:t>iii</w:t>
      </w:r>
    </w:p>
    <w:p w14:paraId="77D60FCD" w14:textId="77777777" w:rsidR="00445D01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vertAlign w:val="superscript"/>
        </w:rPr>
      </w:pPr>
      <w:proofErr w:type="spellStart"/>
      <w:proofErr w:type="gramStart"/>
      <w:r w:rsidRPr="005F5647">
        <w:rPr>
          <w:rFonts w:ascii="Palatino Linotype" w:hAnsi="Palatino Linotype" w:cs="Arial"/>
          <w:sz w:val="18"/>
          <w:szCs w:val="18"/>
          <w:vertAlign w:val="superscript"/>
        </w:rPr>
        <w:t>i</w:t>
      </w:r>
      <w:proofErr w:type="spellEnd"/>
      <w:proofErr w:type="gramEnd"/>
    </w:p>
    <w:p w14:paraId="6A2929B9" w14:textId="77777777" w:rsidR="003A51CD" w:rsidRDefault="003A51CD" w:rsidP="00445D01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11217">
        <w:rPr>
          <w:rFonts w:ascii="Cambria" w:hAnsi="Cambria" w:cs="Arial"/>
          <w:sz w:val="18"/>
          <w:szCs w:val="18"/>
        </w:rPr>
        <w:t>emel@emel.com</w:t>
      </w:r>
    </w:p>
    <w:p w14:paraId="4832A0F5" w14:textId="6C9F6C54" w:rsidR="003A51CD" w:rsidRDefault="003A51CD" w:rsidP="00811217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  <w:proofErr w:type="gramStart"/>
      <w:r w:rsidRPr="005F5647">
        <w:rPr>
          <w:rFonts w:ascii="Palatino Linotype" w:hAnsi="Palatino Linotype" w:cs="Arial"/>
          <w:sz w:val="18"/>
          <w:szCs w:val="18"/>
          <w:vertAlign w:val="superscript"/>
        </w:rPr>
        <w:t>ii</w:t>
      </w:r>
      <w:proofErr w:type="gramEnd"/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1217" w:rsidRPr="00811217">
        <w:rPr>
          <w:rFonts w:ascii="Cambria" w:hAnsi="Cambria" w:cs="Arial"/>
          <w:sz w:val="18"/>
          <w:szCs w:val="18"/>
        </w:rPr>
        <w:t>emel@emel.com</w:t>
      </w:r>
    </w:p>
    <w:p w14:paraId="5955AF6B" w14:textId="4DF081FD" w:rsidR="009B50F8" w:rsidRPr="00445D01" w:rsidRDefault="003A51CD" w:rsidP="00811217">
      <w:pPr>
        <w:pStyle w:val="BodyText"/>
        <w:bidi/>
        <w:jc w:val="center"/>
        <w:rPr>
          <w:rFonts w:ascii="Palatino Linotype" w:hAnsi="Palatino Linotype" w:cs="Arial"/>
          <w:sz w:val="18"/>
          <w:szCs w:val="18"/>
        </w:rPr>
      </w:pPr>
      <w:proofErr w:type="gramStart"/>
      <w:r w:rsidRPr="005F5647">
        <w:rPr>
          <w:rFonts w:ascii="Palatino Linotype" w:hAnsi="Palatino Linotype" w:cs="Arial"/>
          <w:sz w:val="18"/>
          <w:szCs w:val="18"/>
          <w:vertAlign w:val="superscript"/>
        </w:rPr>
        <w:t>iii</w:t>
      </w:r>
      <w:proofErr w:type="gramEnd"/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11217" w:rsidRPr="00811217">
        <w:rPr>
          <w:rFonts w:ascii="Cambria" w:hAnsi="Cambria" w:cs="Arial"/>
          <w:sz w:val="18"/>
          <w:szCs w:val="18"/>
        </w:rPr>
        <w:t>emel@emel.com</w:t>
      </w:r>
    </w:p>
    <w:p w14:paraId="628E8A67" w14:textId="77777777" w:rsidR="0017084F" w:rsidRPr="003A51CD" w:rsidRDefault="0017084F" w:rsidP="00445D01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C70863" w:rsidRPr="005F5647" w14:paraId="6713E993" w14:textId="77777777" w:rsidTr="00445D01">
        <w:trPr>
          <w:trHeight w:val="6933"/>
        </w:trPr>
        <w:tc>
          <w:tcPr>
            <w:tcW w:w="4388" w:type="dxa"/>
          </w:tcPr>
          <w:p w14:paraId="11608197" w14:textId="77777777" w:rsidR="003A51CD" w:rsidRPr="00811217" w:rsidRDefault="003A51CD" w:rsidP="004C6695">
            <w:pPr>
              <w:pStyle w:val="BodyText"/>
              <w:jc w:val="center"/>
              <w:rPr>
                <w:rFonts w:ascii="Cambria" w:hAnsi="Cambria" w:cs="Arial"/>
                <w:i/>
                <w:iCs/>
                <w:snapToGrid w:val="0"/>
                <w:color w:val="000000"/>
                <w:sz w:val="24"/>
                <w:szCs w:val="24"/>
                <w:lang w:val="ms-MY"/>
              </w:rPr>
            </w:pPr>
            <w:r w:rsidRPr="00811217">
              <w:rPr>
                <w:rFonts w:ascii="Cambria" w:hAnsi="Cambria" w:cs="Arial"/>
                <w:b/>
                <w:bCs/>
                <w:sz w:val="24"/>
                <w:szCs w:val="24"/>
                <w:lang w:val="ms-MY"/>
              </w:rPr>
              <w:t>Abstract (Example)</w:t>
            </w:r>
          </w:p>
          <w:p w14:paraId="3E582E1C" w14:textId="77777777" w:rsidR="003A51CD" w:rsidRPr="00811217" w:rsidRDefault="003A51CD" w:rsidP="004C6695">
            <w:pPr>
              <w:pStyle w:val="BodyText"/>
              <w:rPr>
                <w:rFonts w:ascii="Cambria" w:hAnsi="Cambria" w:cs="Arial"/>
                <w:i/>
                <w:iCs/>
                <w:snapToGrid w:val="0"/>
                <w:color w:val="000000"/>
                <w:sz w:val="24"/>
                <w:szCs w:val="24"/>
                <w:lang w:val="ms-MY"/>
              </w:rPr>
            </w:pPr>
          </w:p>
          <w:p w14:paraId="57EDC11C" w14:textId="77777777" w:rsidR="003A51CD" w:rsidRPr="00811217" w:rsidRDefault="003A51CD" w:rsidP="004C669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 xml:space="preserve">This research aims to </w:t>
            </w:r>
            <w:proofErr w:type="spellStart"/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>analyze</w:t>
            </w:r>
            <w:proofErr w:type="spellEnd"/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 xml:space="preserve"> the legal requirements for the transformation of conventional banks towards Islamic bank; by answering two questions, what is the nature of the transformation and the motivation, and what are the legitimate requirements of the transformation? The research, having </w:t>
            </w:r>
            <w:proofErr w:type="gramStart"/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>followed  the</w:t>
            </w:r>
            <w:proofErr w:type="gramEnd"/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 xml:space="preserve"> descriptive analytical method, has come to inter results concerning legitimacy requirements for turning. There are matters and procedures which a traditional bank has to </w:t>
            </w:r>
            <w:proofErr w:type="gramStart"/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>observe  when</w:t>
            </w:r>
            <w:proofErr w:type="gramEnd"/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 xml:space="preserve"> implementing a shift towards Islamic banking; including: a set of legitimate administrative decisions in the restructuring work of the bank, and the creation of a body of a fatwa and legitimacy control</w:t>
            </w:r>
            <w:r w:rsidRPr="00811217">
              <w:rPr>
                <w:rFonts w:ascii="Cambria" w:hAnsi="Cambria"/>
                <w:sz w:val="24"/>
                <w:szCs w:val="24"/>
                <w:rtl/>
              </w:rPr>
              <w:t>.</w:t>
            </w:r>
          </w:p>
          <w:p w14:paraId="57164050" w14:textId="77777777" w:rsidR="003A51CD" w:rsidRPr="00811217" w:rsidRDefault="003A51CD" w:rsidP="004C669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BAE218B" w14:textId="77777777" w:rsidR="00C70863" w:rsidRPr="003A51CD" w:rsidRDefault="003A51CD" w:rsidP="004C6695">
            <w:pPr>
              <w:pStyle w:val="BodyText"/>
              <w:rPr>
                <w:rFonts w:ascii="Palatino Linotype" w:hAnsi="Palatino Linotype" w:cs="Arial"/>
                <w:sz w:val="22"/>
                <w:szCs w:val="22"/>
                <w:lang w:val="ms-MY"/>
              </w:rPr>
            </w:pPr>
            <w:r w:rsidRPr="00811217">
              <w:rPr>
                <w:rFonts w:ascii="Cambria" w:hAnsi="Cambria"/>
                <w:sz w:val="24"/>
                <w:szCs w:val="24"/>
              </w:rPr>
              <w:t xml:space="preserve">Keywords: </w:t>
            </w:r>
            <w:r w:rsidRPr="00811217">
              <w:rPr>
                <w:rFonts w:ascii="Cambria" w:hAnsi="Cambria"/>
                <w:i/>
                <w:iCs/>
                <w:sz w:val="24"/>
                <w:szCs w:val="24"/>
              </w:rPr>
              <w:t>Transformation, requirements, legitimate, banks, conventional</w:t>
            </w:r>
            <w:r w:rsidRPr="0081121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14:paraId="32499B3A" w14:textId="77777777" w:rsidR="003A51CD" w:rsidRPr="003A51CD" w:rsidRDefault="003A51CD" w:rsidP="004C669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BE710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ملخص البحث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(النموذج)</w:t>
            </w:r>
          </w:p>
          <w:p w14:paraId="4CD4CFB8" w14:textId="77777777" w:rsidR="003A51CD" w:rsidRPr="000E4895" w:rsidRDefault="003A51CD" w:rsidP="004C669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يهدف هذا البحث إلى تحليل المتطلبات الشرعية لتحول المصارف التقليدية نحو الصيرفة الإسلامية؛ من خلال الإجابة على سؤالين رئيسن؛ هما: ما ماهية التحول ودوافعه، وما المتطلبات الشرعية للتحول؟ وقد اتبع البحث المنهج الوصفي التحليلي، وقد توصل إلى جملة نتائج تتعلق </w:t>
            </w:r>
            <w:r w:rsidRPr="000E48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المتطلبات الشرعیة للتحول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فثمة </w:t>
            </w:r>
            <w:r w:rsidRPr="000E48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أمور وإجراءات یتوجب على المصرف التقلیدي القیام بها عند تنفیذ التحول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نحو الصيرفة الإسلامية؛ منها: مجموعة من القرارات الإدارية الشرعية في هيكلة عمل المصرف، وإنشاء هيئة للفتوى والرقابة الشرعية.</w:t>
            </w:r>
          </w:p>
          <w:p w14:paraId="1B31A2E8" w14:textId="77777777" w:rsidR="003A51CD" w:rsidRDefault="003A51CD" w:rsidP="004C669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14:paraId="5A4368AF" w14:textId="77777777" w:rsidR="00C70863" w:rsidRPr="005F5647" w:rsidRDefault="003A51CD" w:rsidP="004C6695">
            <w:pPr>
              <w:pStyle w:val="BodyText"/>
              <w:bidi/>
              <w:rPr>
                <w:rFonts w:ascii="Palatino Linotype" w:hAnsi="Palatino Linotype" w:cs="Arial"/>
                <w:b/>
                <w:bCs/>
                <w:sz w:val="24"/>
                <w:szCs w:val="24"/>
                <w:lang w:val="ms-MY"/>
              </w:rPr>
            </w:pP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 المفتاحية: الت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حول، المتطلبات، الشرعية، المصارف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التقليدية.</w:t>
            </w:r>
          </w:p>
        </w:tc>
      </w:tr>
    </w:tbl>
    <w:p w14:paraId="01F48ABE" w14:textId="77777777" w:rsidR="00BD664B" w:rsidRDefault="00BD664B" w:rsidP="004C669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p w14:paraId="3BD12DFB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3D0C7C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مقدمة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 w:rsidRPr="00BA294D">
        <w:rPr>
          <w:rFonts w:ascii="Palatino Linotype" w:hAnsi="Palatino Linotype" w:cs="Arial"/>
          <w:b/>
          <w:bCs/>
          <w:sz w:val="22"/>
          <w:szCs w:val="22"/>
          <w:lang w:val="ms-MY"/>
        </w:rPr>
        <w:t>(TRADITIONAL ARABIC SIZE 16, BOLD, JUSTIFY)</w:t>
      </w:r>
    </w:p>
    <w:p w14:paraId="62DDCBC0" w14:textId="77777777" w:rsidR="00D866B7" w:rsidRPr="00AC1BD6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.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val="ms-MY"/>
        </w:rPr>
        <w:footnoteReference w:id="1"/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</w:t>
      </w:r>
      <w:r w:rsidRPr="00BA294D">
        <w:rPr>
          <w:rFonts w:ascii="Palatino Linotype" w:hAnsi="Palatino Linotype" w:cs="Arial"/>
          <w:sz w:val="22"/>
          <w:szCs w:val="22"/>
          <w:lang w:val="ms-MY"/>
        </w:rPr>
        <w:t>(TRADITIONAL ARABIC SIZE 16, UNBOLD, JUSTIFY)</w:t>
      </w:r>
    </w:p>
    <w:p w14:paraId="71DE6F38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7D5DBBD0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lastRenderedPageBreak/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0FFB202A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300D99A4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2369F1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التنبيه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: </w:t>
      </w:r>
    </w:p>
    <w:p w14:paraId="14CBECC4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استخدم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A47FEF"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للآيات القرآنية: مثل قوله تعالى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2369F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ذَٰلِكَ الْكِتَابُ لَا رَيْبَ </w:t>
      </w:r>
      <w:r w:rsidRPr="002369F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فِيهِ</w:t>
      </w:r>
      <w:r w:rsidRPr="002369F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2369F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هُدًى</w:t>
      </w:r>
      <w:r w:rsidRPr="002369F1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 w:rsidRPr="002369F1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لِّلْمُتَّقِين</w:t>
      </w:r>
      <w:r w:rsidRPr="002369F1">
        <w:rPr>
          <w:rFonts w:ascii="Traditional Arabic" w:hAnsi="Traditional Arabic" w:cs="Traditional Arabic"/>
          <w:color w:val="000000"/>
          <w:sz w:val="32"/>
          <w:szCs w:val="32"/>
          <w:rtl/>
        </w:rPr>
        <w:t>َ</w:t>
      </w:r>
      <w:r w:rsidRPr="00A47FEF"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(القرآن. البقرة: 1)</w:t>
      </w:r>
    </w:p>
    <w:p w14:paraId="6E46D9EA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2F22E77C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استخدم </w:t>
      </w:r>
      <w:r w:rsidRPr="00491872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{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 xml:space="preserve">   </w:t>
      </w:r>
      <w:r w:rsidRPr="00491872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}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للأحاديث النبوية: مثل قوله صلى الله عليه وسلم </w:t>
      </w:r>
      <w:r w:rsidRPr="00491872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{</w:t>
      </w:r>
      <w:r w:rsidRPr="00650F17">
        <w:rPr>
          <w:rFonts w:cs="Traditional Arabic"/>
          <w:sz w:val="32"/>
          <w:szCs w:val="32"/>
          <w:rtl/>
          <w:lang w:val="ms-MY"/>
        </w:rPr>
        <w:t>إِنَّ اللهَ كَرِهَ لَكُمْ ثَلَاثًا: قِيلَ وَقَالَ، وَإِضَاعَةَ الْمَالِ، وَكَثْرَةَ السُّؤَالِ</w:t>
      </w:r>
      <w:r w:rsidRPr="00491872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}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(الحديث. البخاري. باب قول الله تعالى لا يسألون الناس إلحافا. 1477)</w:t>
      </w:r>
    </w:p>
    <w:p w14:paraId="69175517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3F28336A" w14:textId="77777777" w:rsidR="00D866B7" w:rsidRPr="00AC1BD6" w:rsidRDefault="00D866B7" w:rsidP="00D866B7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المبحث الأول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 w:rsidRPr="00BA294D">
        <w:rPr>
          <w:rFonts w:ascii="Palatino Linotype" w:hAnsi="Palatino Linotype" w:cs="Arial"/>
          <w:b/>
          <w:bCs/>
          <w:sz w:val="22"/>
          <w:szCs w:val="22"/>
          <w:lang w:val="ms-MY"/>
        </w:rPr>
        <w:t>(TRADITIONAL ARABIC SIZE 16, BOLD, JUSTIFY)</w:t>
      </w:r>
    </w:p>
    <w:p w14:paraId="04493E1B" w14:textId="77777777" w:rsidR="00D866B7" w:rsidRPr="00AC1BD6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BA294D">
        <w:rPr>
          <w:rFonts w:ascii="Palatino Linotype" w:hAnsi="Palatino Linotype" w:cs="Arial"/>
          <w:sz w:val="22"/>
          <w:szCs w:val="22"/>
          <w:lang w:val="ms-MY"/>
        </w:rPr>
        <w:t>(TRADITIONAL ARABIC SIZE 16, UNBOLD, JUSTIFY)</w:t>
      </w:r>
    </w:p>
    <w:p w14:paraId="08E0480F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1F392E69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6FB62624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39E23587" w14:textId="77777777" w:rsidR="00D866B7" w:rsidRPr="00AC1BD6" w:rsidRDefault="00D866B7" w:rsidP="00BA294D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المطلب الأول (لو يوجد)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 w:rsidR="00BA294D" w:rsidRPr="00BA294D">
        <w:rPr>
          <w:rFonts w:ascii="Palatino Linotype" w:hAnsi="Palatino Linotype" w:cs="Arial"/>
          <w:b/>
          <w:bCs/>
          <w:sz w:val="22"/>
          <w:szCs w:val="22"/>
          <w:lang w:val="ms-MY"/>
        </w:rPr>
        <w:t>(TRADITIONAL ARABIC SIZE 16, BOLD, JUSTIFY)</w:t>
      </w:r>
    </w:p>
    <w:p w14:paraId="362C5F06" w14:textId="77777777" w:rsidR="00D866B7" w:rsidRPr="00AC1BD6" w:rsidRDefault="00D866B7" w:rsidP="00BA294D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="00BA294D" w:rsidRPr="00BA294D">
        <w:rPr>
          <w:rFonts w:ascii="Palatino Linotype" w:hAnsi="Palatino Linotype" w:cs="Arial"/>
          <w:sz w:val="22"/>
          <w:szCs w:val="22"/>
          <w:lang w:val="ms-MY"/>
        </w:rPr>
        <w:t>(TRADITIONAL ARABIC SIZE 16, UNBOLD, JUSTIFY)</w:t>
      </w:r>
    </w:p>
    <w:p w14:paraId="5F4640FE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25384BFB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الفقرة الثالثة. </w:t>
      </w:r>
    </w:p>
    <w:p w14:paraId="7BC7B1C0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36FAFD39" w14:textId="77777777" w:rsidR="00D866B7" w:rsidRPr="00AC1BD6" w:rsidRDefault="00D866B7" w:rsidP="00BA294D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خاتمة </w:t>
      </w:r>
      <w:r w:rsidR="00BA294D" w:rsidRPr="00BA294D">
        <w:rPr>
          <w:rFonts w:ascii="Palatino Linotype" w:hAnsi="Palatino Linotype" w:cs="Arial"/>
          <w:b/>
          <w:bCs/>
          <w:sz w:val="22"/>
          <w:szCs w:val="22"/>
          <w:lang w:val="ms-MY"/>
        </w:rPr>
        <w:t>(TRADITIONAL ARABIC SIZE 16, BOLD, JUSTIFY)</w:t>
      </w:r>
    </w:p>
    <w:p w14:paraId="55D151E4" w14:textId="77777777" w:rsidR="00D866B7" w:rsidRPr="00AC1BD6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BA294D">
        <w:rPr>
          <w:rFonts w:ascii="Palatino Linotype" w:hAnsi="Palatino Linotype" w:cs="Arial"/>
          <w:sz w:val="22"/>
          <w:szCs w:val="22"/>
          <w:lang w:val="ms-MY"/>
        </w:rPr>
        <w:t>(TRADITIONAL ARABIC SIZE 16, UNBOLD, JUSTIFY)</w:t>
      </w:r>
    </w:p>
    <w:p w14:paraId="5A3F7E07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50D2C974" w14:textId="77777777" w:rsidR="00D866B7" w:rsidRDefault="00D866B7" w:rsidP="00D866B7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41874B18" w14:textId="77777777" w:rsidR="00D866B7" w:rsidRPr="00A257B7" w:rsidRDefault="00D866B7" w:rsidP="00D866B7">
      <w:pPr>
        <w:bidi/>
        <w:spacing w:after="0" w:line="240" w:lineRule="auto"/>
        <w:jc w:val="both"/>
        <w:rPr>
          <w:rFonts w:ascii="Arial" w:hAnsi="Arial"/>
          <w:lang w:val="ms-MY"/>
        </w:rPr>
      </w:pPr>
    </w:p>
    <w:p w14:paraId="7E58BD65" w14:textId="77777777" w:rsidR="00D866B7" w:rsidRDefault="00D866B7" w:rsidP="00D866B7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المراجع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(لا بد من كتابة المراجع العربية الأصلية ثم بالأحرف الرومانية كما يلي:)</w:t>
      </w:r>
    </w:p>
    <w:p w14:paraId="2D66B830" w14:textId="77777777" w:rsidR="00D866B7" w:rsidRDefault="00D866B7" w:rsidP="00D866B7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الشرنباصي، رمضان علي السيد. 2002. أحكام الميراث بين الشريعة والقانون. الإسكندرية: منشأة المعارف.</w:t>
      </w:r>
    </w:p>
    <w:p w14:paraId="1F0BDBCE" w14:textId="77777777" w:rsidR="003B2C4A" w:rsidRDefault="003B2C4A" w:rsidP="00D866B7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u w:val="single"/>
          <w:lang w:val="ms-MY"/>
        </w:rPr>
      </w:pPr>
    </w:p>
    <w:p w14:paraId="58B4E3E0" w14:textId="77777777" w:rsidR="00D866B7" w:rsidRDefault="00D866B7" w:rsidP="003B2C4A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 xml:space="preserve">يكتب كما يلي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>بالأحرف الرو</w:t>
      </w:r>
      <w:r w:rsidRPr="00E30B30"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>مانية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:</w:t>
      </w:r>
    </w:p>
    <w:p w14:paraId="2E96EB6E" w14:textId="77777777" w:rsidR="00D866B7" w:rsidRDefault="00D866B7" w:rsidP="00D866B7">
      <w:pPr>
        <w:spacing w:after="0" w:line="240" w:lineRule="auto"/>
        <w:ind w:left="567" w:hanging="567"/>
        <w:jc w:val="both"/>
        <w:rPr>
          <w:rFonts w:ascii="Arial" w:hAnsi="Arial"/>
          <w:lang w:val="ms-MY"/>
        </w:rPr>
      </w:pPr>
    </w:p>
    <w:p w14:paraId="6ED2B9BE" w14:textId="62F2FE1F" w:rsidR="00D866B7" w:rsidRPr="003B2C4A" w:rsidRDefault="00D866B7" w:rsidP="003B2C4A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  <w:lang w:val="ms-MY"/>
        </w:rPr>
      </w:pPr>
      <w:r w:rsidRPr="003B2C4A">
        <w:rPr>
          <w:rFonts w:ascii="Palatino Linotype" w:hAnsi="Palatino Linotype"/>
          <w:b/>
          <w:bCs/>
          <w:sz w:val="24"/>
          <w:szCs w:val="24"/>
          <w:lang w:val="ms-MY"/>
        </w:rPr>
        <w:t xml:space="preserve">REFERENCES (UPPERCASE, </w:t>
      </w:r>
      <w:r w:rsidR="003B2C4A" w:rsidRPr="003B2C4A">
        <w:rPr>
          <w:rFonts w:ascii="Palatino Linotype" w:hAnsi="Palatino Linotype"/>
          <w:b/>
          <w:bCs/>
          <w:sz w:val="24"/>
          <w:szCs w:val="24"/>
          <w:lang w:val="ms-MY"/>
        </w:rPr>
        <w:t>CAMBRIA</w:t>
      </w:r>
      <w:r w:rsidR="00BA294D" w:rsidRPr="003B2C4A">
        <w:rPr>
          <w:rFonts w:ascii="Palatino Linotype" w:hAnsi="Palatino Linotype"/>
          <w:b/>
          <w:bCs/>
          <w:sz w:val="24"/>
          <w:szCs w:val="24"/>
          <w:lang w:val="ms-MY"/>
        </w:rPr>
        <w:t xml:space="preserve"> SIZE 1</w:t>
      </w:r>
      <w:r w:rsidR="003B2C4A">
        <w:rPr>
          <w:rFonts w:ascii="Palatino Linotype" w:hAnsi="Palatino Linotype"/>
          <w:b/>
          <w:bCs/>
          <w:sz w:val="24"/>
          <w:szCs w:val="24"/>
          <w:lang w:val="ms-MY"/>
        </w:rPr>
        <w:t>2</w:t>
      </w:r>
      <w:r w:rsidRPr="003B2C4A">
        <w:rPr>
          <w:rFonts w:ascii="Palatino Linotype" w:hAnsi="Palatino Linotype"/>
          <w:b/>
          <w:bCs/>
          <w:sz w:val="24"/>
          <w:szCs w:val="24"/>
          <w:lang w:val="ms-MY"/>
        </w:rPr>
        <w:t>, BOLD, JUSTIFY)</w:t>
      </w:r>
    </w:p>
    <w:p w14:paraId="252CA59C" w14:textId="77777777" w:rsidR="00D866B7" w:rsidRPr="003B2C4A" w:rsidRDefault="00D866B7" w:rsidP="00D866B7">
      <w:p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</w:p>
    <w:p w14:paraId="3CDA279D" w14:textId="77777777" w:rsidR="00D866B7" w:rsidRPr="003B2C4A" w:rsidRDefault="00D866B7" w:rsidP="00D866B7">
      <w:pPr>
        <w:spacing w:after="0" w:line="240" w:lineRule="auto"/>
        <w:ind w:left="567" w:hanging="567"/>
        <w:jc w:val="both"/>
        <w:rPr>
          <w:rFonts w:ascii="Palatino Linotype" w:hAnsi="Palatino Linotype"/>
          <w:sz w:val="24"/>
          <w:szCs w:val="24"/>
          <w:lang w:val="ms-MY"/>
        </w:rPr>
      </w:pPr>
      <w:proofErr w:type="gramStart"/>
      <w:r w:rsidRPr="003B2C4A">
        <w:rPr>
          <w:rFonts w:ascii="Palatino Linotype" w:hAnsi="Palatino Linotype"/>
          <w:sz w:val="24"/>
          <w:szCs w:val="24"/>
        </w:rPr>
        <w:t>al-</w:t>
      </w:r>
      <w:proofErr w:type="spellStart"/>
      <w:r w:rsidRPr="003B2C4A">
        <w:rPr>
          <w:rFonts w:ascii="Palatino Linotype" w:hAnsi="Palatino Linotype"/>
          <w:sz w:val="24"/>
          <w:szCs w:val="24"/>
        </w:rPr>
        <w:t>Sharanbasiyy</w:t>
      </w:r>
      <w:proofErr w:type="spellEnd"/>
      <w:proofErr w:type="gramEnd"/>
      <w:r w:rsidRPr="003B2C4A">
        <w:rPr>
          <w:rFonts w:ascii="Palatino Linotype" w:hAnsi="Palatino Linotype"/>
          <w:sz w:val="24"/>
          <w:szCs w:val="24"/>
        </w:rPr>
        <w:t xml:space="preserve">, Ramadan </w:t>
      </w:r>
      <w:proofErr w:type="spellStart"/>
      <w:r w:rsidRPr="003B2C4A">
        <w:rPr>
          <w:rFonts w:ascii="Palatino Linotype" w:hAnsi="Palatino Linotype"/>
          <w:sz w:val="24"/>
          <w:szCs w:val="24"/>
          <w:vertAlign w:val="superscript"/>
        </w:rPr>
        <w:t>c</w:t>
      </w:r>
      <w:r w:rsidRPr="003B2C4A">
        <w:rPr>
          <w:rFonts w:ascii="Palatino Linotype" w:hAnsi="Palatino Linotype"/>
          <w:sz w:val="24"/>
          <w:szCs w:val="24"/>
        </w:rPr>
        <w:t>Aliyy</w:t>
      </w:r>
      <w:proofErr w:type="spellEnd"/>
      <w:r w:rsidRPr="003B2C4A">
        <w:rPr>
          <w:rFonts w:ascii="Palatino Linotype" w:hAnsi="Palatino Linotype"/>
          <w:sz w:val="24"/>
          <w:szCs w:val="24"/>
        </w:rPr>
        <w:t xml:space="preserve"> al-</w:t>
      </w:r>
      <w:proofErr w:type="spellStart"/>
      <w:r w:rsidRPr="003B2C4A">
        <w:rPr>
          <w:rFonts w:ascii="Palatino Linotype" w:hAnsi="Palatino Linotype"/>
          <w:sz w:val="24"/>
          <w:szCs w:val="24"/>
        </w:rPr>
        <w:t>Sayyid</w:t>
      </w:r>
      <w:proofErr w:type="spellEnd"/>
      <w:r w:rsidRPr="003B2C4A">
        <w:rPr>
          <w:rFonts w:ascii="Palatino Linotype" w:hAnsi="Palatino Linotype"/>
          <w:sz w:val="24"/>
          <w:szCs w:val="24"/>
          <w:lang w:val="ms-MY"/>
        </w:rPr>
        <w:t xml:space="preserve">. 2002. </w:t>
      </w:r>
      <w:r w:rsidRPr="003B2C4A">
        <w:rPr>
          <w:rFonts w:ascii="Palatino Linotype" w:hAnsi="Palatino Linotype"/>
          <w:i/>
          <w:iCs/>
          <w:sz w:val="24"/>
          <w:szCs w:val="24"/>
          <w:lang w:val="ms-MY"/>
        </w:rPr>
        <w:t>Ahkam al-Mirath Bayna al-Shari</w:t>
      </w:r>
      <w:r w:rsidRPr="003B2C4A">
        <w:rPr>
          <w:rFonts w:ascii="Palatino Linotype" w:hAnsi="Palatino Linotype"/>
          <w:i/>
          <w:iCs/>
          <w:sz w:val="24"/>
          <w:szCs w:val="24"/>
          <w:vertAlign w:val="superscript"/>
          <w:lang w:val="ms-MY"/>
        </w:rPr>
        <w:t>c</w:t>
      </w:r>
      <w:r w:rsidRPr="003B2C4A">
        <w:rPr>
          <w:rFonts w:ascii="Palatino Linotype" w:hAnsi="Palatino Linotype"/>
          <w:i/>
          <w:iCs/>
          <w:sz w:val="24"/>
          <w:szCs w:val="24"/>
          <w:lang w:val="ms-MY"/>
        </w:rPr>
        <w:t>ah Wa al-Qanun</w:t>
      </w:r>
      <w:r w:rsidRPr="003B2C4A">
        <w:rPr>
          <w:rFonts w:ascii="Palatino Linotype" w:hAnsi="Palatino Linotype"/>
          <w:sz w:val="24"/>
          <w:szCs w:val="24"/>
          <w:lang w:val="ms-MY"/>
        </w:rPr>
        <w:t>. al-Iskandariyyah: Mansha’at al-Ma</w:t>
      </w:r>
      <w:r w:rsidRPr="003B2C4A">
        <w:rPr>
          <w:rFonts w:ascii="Palatino Linotype" w:hAnsi="Palatino Linotype"/>
          <w:sz w:val="24"/>
          <w:szCs w:val="24"/>
          <w:vertAlign w:val="superscript"/>
          <w:lang w:val="ms-MY"/>
        </w:rPr>
        <w:t>c</w:t>
      </w:r>
      <w:r w:rsidRPr="003B2C4A">
        <w:rPr>
          <w:rFonts w:ascii="Palatino Linotype" w:hAnsi="Palatino Linotype"/>
          <w:sz w:val="24"/>
          <w:szCs w:val="24"/>
          <w:lang w:val="ms-MY"/>
        </w:rPr>
        <w:t>arif.</w:t>
      </w:r>
    </w:p>
    <w:p w14:paraId="182E98FD" w14:textId="77777777" w:rsidR="00D866B7" w:rsidRPr="003B2C4A" w:rsidRDefault="00D866B7" w:rsidP="00D866B7">
      <w:pPr>
        <w:bidi/>
        <w:spacing w:after="0" w:line="240" w:lineRule="auto"/>
        <w:jc w:val="both"/>
        <w:rPr>
          <w:rFonts w:ascii="Traditional Arabic" w:hAnsi="Traditional Arabic" w:cs="Traditional Arabic"/>
          <w:sz w:val="24"/>
          <w:szCs w:val="24"/>
        </w:rPr>
      </w:pPr>
    </w:p>
    <w:p w14:paraId="4EAFEB6A" w14:textId="77777777" w:rsidR="00D866B7" w:rsidRDefault="00D866B7" w:rsidP="00D866B7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</w:p>
    <w:sectPr w:rsidR="00D866B7" w:rsidSect="00445D01">
      <w:headerReference w:type="default" r:id="rId8"/>
      <w:footerReference w:type="default" r:id="rId9"/>
      <w:pgSz w:w="11906" w:h="16838"/>
      <w:pgMar w:top="1350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6885C" w14:textId="77777777" w:rsidR="00B87E75" w:rsidRDefault="00B87E75" w:rsidP="00C90451">
      <w:pPr>
        <w:spacing w:after="0" w:line="240" w:lineRule="auto"/>
      </w:pPr>
      <w:r>
        <w:separator/>
      </w:r>
    </w:p>
  </w:endnote>
  <w:endnote w:type="continuationSeparator" w:id="0">
    <w:p w14:paraId="02AC7DAD" w14:textId="77777777" w:rsidR="00B87E75" w:rsidRDefault="00B87E75" w:rsidP="00C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6233"/>
      <w:docPartObj>
        <w:docPartGallery w:val="Page Numbers (Bottom of Page)"/>
        <w:docPartUnique/>
      </w:docPartObj>
    </w:sdtPr>
    <w:sdtEndPr>
      <w:rPr>
        <w:rFonts w:ascii="Cambria" w:hAnsi="Cambria" w:cs="Arial"/>
        <w:noProof/>
      </w:rPr>
    </w:sdtEndPr>
    <w:sdtContent>
      <w:p w14:paraId="48B015ED" w14:textId="1CAC7E66" w:rsidR="008E20A5" w:rsidRPr="003B2C4A" w:rsidRDefault="008E20A5" w:rsidP="003B2C4A">
        <w:pPr>
          <w:pStyle w:val="Footer"/>
          <w:jc w:val="center"/>
          <w:rPr>
            <w:rFonts w:ascii="Cambria" w:hAnsi="Cambria" w:cs="Arial"/>
            <w:noProof/>
            <w:sz w:val="24"/>
            <w:szCs w:val="24"/>
          </w:rPr>
        </w:pPr>
        <w:r w:rsidRPr="003B2C4A">
          <w:rPr>
            <w:rFonts w:ascii="Cambria" w:hAnsi="Cambria" w:cs="Arial"/>
            <w:sz w:val="24"/>
            <w:szCs w:val="24"/>
          </w:rPr>
          <w:fldChar w:fldCharType="begin"/>
        </w:r>
        <w:r w:rsidRPr="003B2C4A">
          <w:rPr>
            <w:rFonts w:ascii="Cambria" w:hAnsi="Cambria" w:cs="Arial"/>
            <w:sz w:val="24"/>
            <w:szCs w:val="24"/>
          </w:rPr>
          <w:instrText xml:space="preserve"> PAGE   \* MERGEFORMAT </w:instrText>
        </w:r>
        <w:r w:rsidRPr="003B2C4A">
          <w:rPr>
            <w:rFonts w:ascii="Cambria" w:hAnsi="Cambria" w:cs="Arial"/>
            <w:sz w:val="24"/>
            <w:szCs w:val="24"/>
          </w:rPr>
          <w:fldChar w:fldCharType="separate"/>
        </w:r>
        <w:r w:rsidR="003B2C4A">
          <w:rPr>
            <w:rFonts w:ascii="Cambria" w:hAnsi="Cambria" w:cs="Arial"/>
            <w:noProof/>
            <w:sz w:val="24"/>
            <w:szCs w:val="24"/>
          </w:rPr>
          <w:t>3</w:t>
        </w:r>
        <w:r w:rsidRPr="003B2C4A">
          <w:rPr>
            <w:rFonts w:ascii="Cambria" w:hAnsi="Cambria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5A72" w14:textId="77777777" w:rsidR="00B87E75" w:rsidRDefault="00B87E75" w:rsidP="00C90451">
      <w:pPr>
        <w:spacing w:after="0" w:line="240" w:lineRule="auto"/>
      </w:pPr>
      <w:r>
        <w:separator/>
      </w:r>
    </w:p>
  </w:footnote>
  <w:footnote w:type="continuationSeparator" w:id="0">
    <w:p w14:paraId="2685A17F" w14:textId="77777777" w:rsidR="00B87E75" w:rsidRDefault="00B87E75" w:rsidP="00C90451">
      <w:pPr>
        <w:spacing w:after="0" w:line="240" w:lineRule="auto"/>
      </w:pPr>
      <w:r>
        <w:continuationSeparator/>
      </w:r>
    </w:p>
  </w:footnote>
  <w:footnote w:id="1">
    <w:p w14:paraId="2E2A8EE0" w14:textId="77777777" w:rsidR="00D866B7" w:rsidRPr="00AC1BD6" w:rsidRDefault="00D866B7" w:rsidP="00D866B7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7801EE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7801EE">
        <w:rPr>
          <w:rFonts w:ascii="Traditional Arabic" w:hAnsi="Traditional Arabic" w:cs="Traditional Arabic"/>
          <w:sz w:val="28"/>
          <w:szCs w:val="28"/>
          <w:rtl/>
        </w:rPr>
        <w:t xml:space="preserve"> الهامش (لو يوجد)</w:t>
      </w:r>
      <w:r w:rsidRPr="00AC1BD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517DAA">
        <w:rPr>
          <w:rFonts w:ascii="Cambria" w:hAnsi="Cambria" w:cs="Arial"/>
          <w:lang w:val="ms-MY"/>
        </w:rPr>
        <w:t>(TRADITIONAL ARABIC S</w:t>
      </w:r>
      <w:bookmarkStart w:id="0" w:name="_GoBack"/>
      <w:bookmarkEnd w:id="0"/>
      <w:r w:rsidRPr="00517DAA">
        <w:rPr>
          <w:rFonts w:ascii="Cambria" w:hAnsi="Cambria" w:cs="Arial"/>
          <w:lang w:val="ms-MY"/>
        </w:rPr>
        <w:t>IZE 14, UNBOLD, JUSTIFY)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1954" w14:textId="773B0CF1" w:rsidR="00730BE6" w:rsidRPr="003B2C4A" w:rsidRDefault="003B2C4A" w:rsidP="003B2C4A">
    <w:pPr>
      <w:pStyle w:val="Header"/>
      <w:jc w:val="right"/>
      <w:rPr>
        <w:i/>
        <w:iCs/>
        <w:sz w:val="20"/>
        <w:szCs w:val="20"/>
      </w:rPr>
    </w:pPr>
    <w:r w:rsidRPr="00F73B70">
      <w:rPr>
        <w:rFonts w:ascii="Cambria" w:hAnsi="Cambria"/>
        <w:i/>
        <w:iCs/>
        <w:sz w:val="20"/>
        <w:szCs w:val="20"/>
        <w:lang w:val="en-US"/>
      </w:rPr>
      <w:t xml:space="preserve">Seminar </w:t>
    </w:r>
    <w:proofErr w:type="spellStart"/>
    <w:r w:rsidRPr="00F73B70">
      <w:rPr>
        <w:rFonts w:ascii="Cambria" w:hAnsi="Cambria"/>
        <w:i/>
        <w:iCs/>
        <w:sz w:val="20"/>
        <w:szCs w:val="20"/>
        <w:lang w:val="en-US"/>
      </w:rPr>
      <w:t>Kebangsaan</w:t>
    </w:r>
    <w:proofErr w:type="spellEnd"/>
    <w:r w:rsidRPr="00F73B70">
      <w:rPr>
        <w:rFonts w:ascii="Cambria" w:hAnsi="Cambria"/>
        <w:i/>
        <w:iCs/>
        <w:sz w:val="20"/>
        <w:szCs w:val="20"/>
        <w:lang w:val="en-US"/>
      </w:rPr>
      <w:t xml:space="preserve"> </w:t>
    </w:r>
    <w:proofErr w:type="spellStart"/>
    <w:r w:rsidRPr="00F73B70">
      <w:rPr>
        <w:rFonts w:ascii="Cambria" w:hAnsi="Cambria"/>
        <w:i/>
        <w:iCs/>
        <w:sz w:val="20"/>
        <w:szCs w:val="20"/>
        <w:lang w:val="en-US"/>
      </w:rPr>
      <w:t>Isu</w:t>
    </w:r>
    <w:proofErr w:type="spellEnd"/>
    <w:r w:rsidRPr="00F73B70">
      <w:rPr>
        <w:rFonts w:ascii="Cambria" w:hAnsi="Cambria"/>
        <w:i/>
        <w:iCs/>
        <w:sz w:val="20"/>
        <w:szCs w:val="20"/>
        <w:lang w:val="en-US"/>
      </w:rPr>
      <w:t xml:space="preserve"> </w:t>
    </w:r>
    <w:proofErr w:type="spellStart"/>
    <w:r w:rsidRPr="00F73B70">
      <w:rPr>
        <w:rFonts w:ascii="Cambria" w:hAnsi="Cambria"/>
        <w:i/>
        <w:iCs/>
        <w:sz w:val="20"/>
        <w:szCs w:val="20"/>
        <w:lang w:val="en-US"/>
      </w:rPr>
      <w:t>Sosial</w:t>
    </w:r>
    <w:proofErr w:type="spellEnd"/>
    <w:r w:rsidRPr="00F73B70">
      <w:rPr>
        <w:rFonts w:ascii="Cambria" w:hAnsi="Cambria"/>
        <w:i/>
        <w:iCs/>
        <w:sz w:val="20"/>
        <w:szCs w:val="20"/>
        <w:lang w:val="en-US"/>
      </w:rPr>
      <w:t xml:space="preserve"> (SKESA)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9C6"/>
    <w:multiLevelType w:val="hybridMultilevel"/>
    <w:tmpl w:val="8D8CAE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C1D"/>
    <w:multiLevelType w:val="hybridMultilevel"/>
    <w:tmpl w:val="7FCA088C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363816"/>
    <w:multiLevelType w:val="hybridMultilevel"/>
    <w:tmpl w:val="8F7C0294"/>
    <w:lvl w:ilvl="0" w:tplc="480447D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1"/>
    <w:rsid w:val="00002CB2"/>
    <w:rsid w:val="00010E3B"/>
    <w:rsid w:val="00017C9A"/>
    <w:rsid w:val="00025577"/>
    <w:rsid w:val="000968E1"/>
    <w:rsid w:val="00101370"/>
    <w:rsid w:val="0011022F"/>
    <w:rsid w:val="00167800"/>
    <w:rsid w:val="0017084F"/>
    <w:rsid w:val="002305E2"/>
    <w:rsid w:val="00234CC0"/>
    <w:rsid w:val="00245CC0"/>
    <w:rsid w:val="0027240A"/>
    <w:rsid w:val="002A0D81"/>
    <w:rsid w:val="002C10CC"/>
    <w:rsid w:val="002C6181"/>
    <w:rsid w:val="00324045"/>
    <w:rsid w:val="00333E04"/>
    <w:rsid w:val="003A51CD"/>
    <w:rsid w:val="003B2C4A"/>
    <w:rsid w:val="003D3F8B"/>
    <w:rsid w:val="003D7DCF"/>
    <w:rsid w:val="00445D01"/>
    <w:rsid w:val="0044649E"/>
    <w:rsid w:val="00477E1C"/>
    <w:rsid w:val="0049279D"/>
    <w:rsid w:val="004C6695"/>
    <w:rsid w:val="00545CDF"/>
    <w:rsid w:val="00547904"/>
    <w:rsid w:val="005A32B9"/>
    <w:rsid w:val="005B0725"/>
    <w:rsid w:val="005F24D9"/>
    <w:rsid w:val="005F5647"/>
    <w:rsid w:val="00614FBC"/>
    <w:rsid w:val="00702CD5"/>
    <w:rsid w:val="00730BE6"/>
    <w:rsid w:val="007B11CD"/>
    <w:rsid w:val="00811217"/>
    <w:rsid w:val="00830C8F"/>
    <w:rsid w:val="008E20A5"/>
    <w:rsid w:val="008E2484"/>
    <w:rsid w:val="008F791E"/>
    <w:rsid w:val="0091778E"/>
    <w:rsid w:val="0094161E"/>
    <w:rsid w:val="009569A2"/>
    <w:rsid w:val="00956A73"/>
    <w:rsid w:val="00960CB2"/>
    <w:rsid w:val="009B50F8"/>
    <w:rsid w:val="009D3CD6"/>
    <w:rsid w:val="00A05B73"/>
    <w:rsid w:val="00A2432C"/>
    <w:rsid w:val="00A3776B"/>
    <w:rsid w:val="00A40299"/>
    <w:rsid w:val="00A404E1"/>
    <w:rsid w:val="00A70AAA"/>
    <w:rsid w:val="00A75BAB"/>
    <w:rsid w:val="00A96063"/>
    <w:rsid w:val="00AA5851"/>
    <w:rsid w:val="00B0324E"/>
    <w:rsid w:val="00B52876"/>
    <w:rsid w:val="00B77B26"/>
    <w:rsid w:val="00B84168"/>
    <w:rsid w:val="00B87E75"/>
    <w:rsid w:val="00BA294D"/>
    <w:rsid w:val="00BB2CAC"/>
    <w:rsid w:val="00BC337D"/>
    <w:rsid w:val="00BD664B"/>
    <w:rsid w:val="00C55342"/>
    <w:rsid w:val="00C70863"/>
    <w:rsid w:val="00C90451"/>
    <w:rsid w:val="00D33CC7"/>
    <w:rsid w:val="00D62F1C"/>
    <w:rsid w:val="00D83F1F"/>
    <w:rsid w:val="00D866B7"/>
    <w:rsid w:val="00D967BA"/>
    <w:rsid w:val="00DE695E"/>
    <w:rsid w:val="00DF1E21"/>
    <w:rsid w:val="00E1096A"/>
    <w:rsid w:val="00E25005"/>
    <w:rsid w:val="00E560A9"/>
    <w:rsid w:val="00E778C8"/>
    <w:rsid w:val="00EB3A08"/>
    <w:rsid w:val="00ED5D36"/>
    <w:rsid w:val="00F07EA4"/>
    <w:rsid w:val="00F65499"/>
    <w:rsid w:val="00F83C38"/>
    <w:rsid w:val="00F87F81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0A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51"/>
  </w:style>
  <w:style w:type="paragraph" w:styleId="Footer">
    <w:name w:val="footer"/>
    <w:basedOn w:val="Normal"/>
    <w:link w:val="Foot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51"/>
  </w:style>
  <w:style w:type="table" w:styleId="TableGrid">
    <w:name w:val="Table Grid"/>
    <w:basedOn w:val="TableNormal"/>
    <w:uiPriority w:val="39"/>
    <w:rsid w:val="00C9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02C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CD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20A5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8E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0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E20A5"/>
    <w:rPr>
      <w:vertAlign w:val="superscript"/>
    </w:rPr>
  </w:style>
  <w:style w:type="character" w:customStyle="1" w:styleId="hps">
    <w:name w:val="hps"/>
    <w:rsid w:val="008E20A5"/>
  </w:style>
  <w:style w:type="paragraph" w:styleId="BodyText2">
    <w:name w:val="Body Text 2"/>
    <w:basedOn w:val="Normal"/>
    <w:link w:val="BodyText2Char"/>
    <w:uiPriority w:val="99"/>
    <w:unhideWhenUsed/>
    <w:rsid w:val="005F24D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F24D9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4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unhideWhenUsed/>
    <w:rsid w:val="005F24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0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A51C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0A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51"/>
  </w:style>
  <w:style w:type="paragraph" w:styleId="Footer">
    <w:name w:val="footer"/>
    <w:basedOn w:val="Normal"/>
    <w:link w:val="Foot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51"/>
  </w:style>
  <w:style w:type="table" w:styleId="TableGrid">
    <w:name w:val="Table Grid"/>
    <w:basedOn w:val="TableNormal"/>
    <w:uiPriority w:val="39"/>
    <w:rsid w:val="00C9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02C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CD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20A5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8E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0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E20A5"/>
    <w:rPr>
      <w:vertAlign w:val="superscript"/>
    </w:rPr>
  </w:style>
  <w:style w:type="character" w:customStyle="1" w:styleId="hps">
    <w:name w:val="hps"/>
    <w:rsid w:val="008E20A5"/>
  </w:style>
  <w:style w:type="paragraph" w:styleId="BodyText2">
    <w:name w:val="Body Text 2"/>
    <w:basedOn w:val="Normal"/>
    <w:link w:val="BodyText2Char"/>
    <w:uiPriority w:val="99"/>
    <w:unhideWhenUsed/>
    <w:rsid w:val="005F24D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F24D9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4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unhideWhenUsed/>
    <w:rsid w:val="005F24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0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A51C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Irwan Mohd Subri</dc:creator>
  <cp:keywords/>
  <dc:description/>
  <cp:lastModifiedBy>Admin</cp:lastModifiedBy>
  <cp:revision>4</cp:revision>
  <dcterms:created xsi:type="dcterms:W3CDTF">2018-05-30T04:00:00Z</dcterms:created>
  <dcterms:modified xsi:type="dcterms:W3CDTF">2019-04-19T03:03:00Z</dcterms:modified>
</cp:coreProperties>
</file>